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EA7C5" w14:textId="18339FD8" w:rsidR="004B7699" w:rsidRDefault="004B7699" w:rsidP="004B769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Poverty Flats Ranch UP 23-09 IS 23-20 </w:t>
      </w:r>
      <w:r w:rsidRPr="004B7699">
        <w:rPr>
          <w:b/>
          <w:bCs/>
          <w:sz w:val="20"/>
          <w:szCs w:val="20"/>
        </w:rPr>
        <w:t>IS/MND Side-by-Side (Jan 6, 2025 vs Apr 25, 2025)</w:t>
      </w:r>
    </w:p>
    <w:p w14:paraId="09ED3088" w14:textId="77777777" w:rsidR="004B7699" w:rsidRPr="004B7699" w:rsidRDefault="004B7699" w:rsidP="004B7699">
      <w:pPr>
        <w:rPr>
          <w:b/>
          <w:bCs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2302"/>
        <w:gridCol w:w="2425"/>
        <w:gridCol w:w="3186"/>
      </w:tblGrid>
      <w:tr w:rsidR="004B7699" w:rsidRPr="004B7699" w14:paraId="7BD7A299" w14:textId="77777777" w:rsidTr="004B76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571EB6" w14:textId="77777777" w:rsidR="004B7699" w:rsidRPr="004B7699" w:rsidRDefault="004B7699" w:rsidP="004B7699">
            <w:pPr>
              <w:rPr>
                <w:b/>
                <w:bCs/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Section / Topic</w:t>
            </w:r>
          </w:p>
        </w:tc>
        <w:tc>
          <w:tcPr>
            <w:tcW w:w="0" w:type="auto"/>
            <w:vAlign w:val="center"/>
            <w:hideMark/>
          </w:tcPr>
          <w:p w14:paraId="6B420667" w14:textId="77777777" w:rsidR="004B7699" w:rsidRPr="004B7699" w:rsidRDefault="004B7699" w:rsidP="004B7699">
            <w:pPr>
              <w:rPr>
                <w:b/>
                <w:bCs/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 xml:space="preserve">Jan 6, </w:t>
            </w:r>
            <w:proofErr w:type="gramStart"/>
            <w:r w:rsidRPr="004B7699">
              <w:rPr>
                <w:b/>
                <w:bCs/>
                <w:sz w:val="20"/>
                <w:szCs w:val="20"/>
              </w:rPr>
              <w:t>2025</w:t>
            </w:r>
            <w:proofErr w:type="gramEnd"/>
            <w:r w:rsidRPr="004B7699">
              <w:rPr>
                <w:b/>
                <w:bCs/>
                <w:sz w:val="20"/>
                <w:szCs w:val="20"/>
              </w:rPr>
              <w:t xml:space="preserve"> IS/MND</w:t>
            </w:r>
          </w:p>
        </w:tc>
        <w:tc>
          <w:tcPr>
            <w:tcW w:w="0" w:type="auto"/>
            <w:vAlign w:val="center"/>
            <w:hideMark/>
          </w:tcPr>
          <w:p w14:paraId="5EFC98E6" w14:textId="77777777" w:rsidR="004B7699" w:rsidRPr="004B7699" w:rsidRDefault="004B7699" w:rsidP="004B7699">
            <w:pPr>
              <w:rPr>
                <w:b/>
                <w:bCs/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 xml:space="preserve">Apr 25, </w:t>
            </w:r>
            <w:proofErr w:type="gramStart"/>
            <w:r w:rsidRPr="004B7699">
              <w:rPr>
                <w:b/>
                <w:bCs/>
                <w:sz w:val="20"/>
                <w:szCs w:val="20"/>
              </w:rPr>
              <w:t>2025</w:t>
            </w:r>
            <w:proofErr w:type="gramEnd"/>
            <w:r w:rsidRPr="004B7699">
              <w:rPr>
                <w:b/>
                <w:bCs/>
                <w:sz w:val="20"/>
                <w:szCs w:val="20"/>
              </w:rPr>
              <w:t xml:space="preserve"> Redline</w:t>
            </w:r>
          </w:p>
        </w:tc>
        <w:tc>
          <w:tcPr>
            <w:tcW w:w="0" w:type="auto"/>
            <w:vAlign w:val="center"/>
            <w:hideMark/>
          </w:tcPr>
          <w:p w14:paraId="1B829695" w14:textId="77777777" w:rsidR="004B7699" w:rsidRPr="004B7699" w:rsidRDefault="004B7699" w:rsidP="004B7699">
            <w:pPr>
              <w:rPr>
                <w:b/>
                <w:bCs/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Impact / Why it matters</w:t>
            </w:r>
          </w:p>
        </w:tc>
      </w:tr>
      <w:tr w:rsidR="004B7699" w:rsidRPr="004B7699" w14:paraId="6A3DEE7F" w14:textId="77777777" w:rsidTr="004B7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5CAEF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Grading Permit references (GR 25-01)</w:t>
            </w:r>
          </w:p>
        </w:tc>
        <w:tc>
          <w:tcPr>
            <w:tcW w:w="0" w:type="auto"/>
            <w:vAlign w:val="center"/>
            <w:hideMark/>
          </w:tcPr>
          <w:p w14:paraId="19C6F656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References to </w:t>
            </w:r>
            <w:r w:rsidRPr="004B7699">
              <w:rPr>
                <w:b/>
                <w:bCs/>
                <w:sz w:val="20"/>
                <w:szCs w:val="20"/>
              </w:rPr>
              <w:t>GR 25-01</w:t>
            </w:r>
            <w:r w:rsidRPr="004B7699">
              <w:rPr>
                <w:sz w:val="20"/>
                <w:szCs w:val="20"/>
              </w:rPr>
              <w:t>included/cross-referenced in project materials.</w:t>
            </w:r>
          </w:p>
        </w:tc>
        <w:tc>
          <w:tcPr>
            <w:tcW w:w="0" w:type="auto"/>
            <w:vAlign w:val="center"/>
            <w:hideMark/>
          </w:tcPr>
          <w:p w14:paraId="00E50DF9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GR 25-01 references removed</w:t>
            </w:r>
            <w:r w:rsidRPr="004B7699">
              <w:rPr>
                <w:sz w:val="20"/>
                <w:szCs w:val="20"/>
              </w:rPr>
              <w:t> from packet and cross-refs.</w:t>
            </w:r>
          </w:p>
        </w:tc>
        <w:tc>
          <w:tcPr>
            <w:tcW w:w="0" w:type="auto"/>
            <w:vAlign w:val="center"/>
            <w:hideMark/>
          </w:tcPr>
          <w:p w14:paraId="6E55BCEE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Removal obscures the scope of grading/ground disturbance and related permits → likely recirculation (§15073.5(a)).</w:t>
            </w:r>
          </w:p>
        </w:tc>
      </w:tr>
      <w:tr w:rsidR="004B7699" w:rsidRPr="004B7699" w14:paraId="34A13A69" w14:textId="77777777" w:rsidTr="004B7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36310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Project description (use/scope)</w:t>
            </w:r>
          </w:p>
        </w:tc>
        <w:tc>
          <w:tcPr>
            <w:tcW w:w="0" w:type="auto"/>
            <w:vAlign w:val="center"/>
            <w:hideMark/>
          </w:tcPr>
          <w:p w14:paraId="682C505A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Described as </w:t>
            </w:r>
            <w:r w:rsidRPr="004B7699">
              <w:rPr>
                <w:b/>
                <w:bCs/>
                <w:sz w:val="20"/>
                <w:szCs w:val="20"/>
              </w:rPr>
              <w:t>“immature plant nursery”</w:t>
            </w:r>
            <w:r w:rsidRPr="004B7699">
              <w:rPr>
                <w:sz w:val="20"/>
                <w:szCs w:val="20"/>
              </w:rPr>
              <w:t> (narrower operational implications).</w:t>
            </w:r>
          </w:p>
        </w:tc>
        <w:tc>
          <w:tcPr>
            <w:tcW w:w="0" w:type="auto"/>
            <w:vAlign w:val="center"/>
            <w:hideMark/>
          </w:tcPr>
          <w:p w14:paraId="071369FC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Revised to </w:t>
            </w:r>
            <w:r w:rsidRPr="004B7699">
              <w:rPr>
                <w:b/>
                <w:bCs/>
                <w:sz w:val="20"/>
                <w:szCs w:val="20"/>
              </w:rPr>
              <w:t>“immature plant propagation”</w:t>
            </w:r>
            <w:r w:rsidRPr="004B7699">
              <w:rPr>
                <w:sz w:val="20"/>
                <w:szCs w:val="20"/>
              </w:rPr>
              <w:t>, broader activities (lighting, chemicals, energy, logistics).</w:t>
            </w:r>
          </w:p>
        </w:tc>
        <w:tc>
          <w:tcPr>
            <w:tcW w:w="0" w:type="auto"/>
            <w:vAlign w:val="center"/>
            <w:hideMark/>
          </w:tcPr>
          <w:p w14:paraId="0ED5A17F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Scope expansion can alter impact conclusions (energy, air/noise, glare, hazards) → recirculation (§15073.5(b)(1)).</w:t>
            </w:r>
          </w:p>
        </w:tc>
      </w:tr>
      <w:tr w:rsidR="004B7699" w:rsidRPr="004B7699" w14:paraId="1D7CF01C" w14:textId="77777777" w:rsidTr="004B7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AAD9B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Workforce / trip generation</w:t>
            </w:r>
          </w:p>
        </w:tc>
        <w:tc>
          <w:tcPr>
            <w:tcW w:w="0" w:type="auto"/>
            <w:vAlign w:val="center"/>
            <w:hideMark/>
          </w:tcPr>
          <w:p w14:paraId="53F2D685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Consistent staffing (e.g., </w:t>
            </w:r>
            <w:r w:rsidRPr="004B7699">
              <w:rPr>
                <w:b/>
                <w:bCs/>
                <w:sz w:val="20"/>
                <w:szCs w:val="20"/>
              </w:rPr>
              <w:t>two employees</w:t>
            </w:r>
            <w:r w:rsidRPr="004B7699">
              <w:rPr>
                <w:sz w:val="20"/>
                <w:szCs w:val="20"/>
              </w:rPr>
              <w:t>) used for trips/operations.</w:t>
            </w:r>
          </w:p>
        </w:tc>
        <w:tc>
          <w:tcPr>
            <w:tcW w:w="0" w:type="auto"/>
            <w:vAlign w:val="center"/>
            <w:hideMark/>
          </w:tcPr>
          <w:p w14:paraId="261C8389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Text shows </w:t>
            </w:r>
            <w:r w:rsidRPr="004B7699">
              <w:rPr>
                <w:b/>
                <w:bCs/>
                <w:sz w:val="20"/>
                <w:szCs w:val="20"/>
              </w:rPr>
              <w:t>“two (2) one (1) to nine (9) employees”</w:t>
            </w:r>
            <w:r w:rsidRPr="004B7699">
              <w:rPr>
                <w:sz w:val="20"/>
                <w:szCs w:val="20"/>
              </w:rPr>
              <w:t>, materially changing daily trips/peaks.</w:t>
            </w:r>
          </w:p>
        </w:tc>
        <w:tc>
          <w:tcPr>
            <w:tcW w:w="0" w:type="auto"/>
            <w:vAlign w:val="center"/>
            <w:hideMark/>
          </w:tcPr>
          <w:p w14:paraId="2EEEE2BB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Changed trip assumptions affect transportation safety/evacuation/noise → recirculation (§15073.5).</w:t>
            </w:r>
          </w:p>
        </w:tc>
      </w:tr>
      <w:tr w:rsidR="004B7699" w:rsidRPr="004B7699" w14:paraId="0088E262" w14:textId="77777777" w:rsidTr="004B7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42348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Comments considered with the IS/MND</w:t>
            </w:r>
          </w:p>
        </w:tc>
        <w:tc>
          <w:tcPr>
            <w:tcW w:w="0" w:type="auto"/>
            <w:vAlign w:val="center"/>
            <w:hideMark/>
          </w:tcPr>
          <w:p w14:paraId="689A7B70" w14:textId="2C65557C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Public/agency comments aligned to the </w:t>
            </w:r>
            <w:r w:rsidRPr="004B7699">
              <w:rPr>
                <w:b/>
                <w:bCs/>
                <w:sz w:val="20"/>
                <w:szCs w:val="20"/>
              </w:rPr>
              <w:t>earlier</w:t>
            </w:r>
            <w:r w:rsidRPr="004B7699">
              <w:rPr>
                <w:sz w:val="20"/>
                <w:szCs w:val="20"/>
              </w:rPr>
              <w:t xml:space="preserve"> version</w:t>
            </w:r>
            <w:r w:rsidRPr="004B7699">
              <w:rPr>
                <w:sz w:val="20"/>
                <w:szCs w:val="20"/>
              </w:rPr>
              <w:t>; mixed metadata.</w:t>
            </w:r>
          </w:p>
        </w:tc>
        <w:tc>
          <w:tcPr>
            <w:tcW w:w="0" w:type="auto"/>
            <w:vAlign w:val="center"/>
            <w:hideMark/>
          </w:tcPr>
          <w:p w14:paraId="097E6250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Commission/Board considered the </w:t>
            </w:r>
            <w:r w:rsidRPr="004B7699">
              <w:rPr>
                <w:b/>
                <w:bCs/>
                <w:sz w:val="20"/>
                <w:szCs w:val="20"/>
              </w:rPr>
              <w:t>Apr 25</w:t>
            </w:r>
            <w:r w:rsidRPr="004B7699">
              <w:rPr>
                <w:sz w:val="20"/>
                <w:szCs w:val="20"/>
              </w:rPr>
              <w:t>redline </w:t>
            </w:r>
            <w:r w:rsidRPr="004B7699">
              <w:rPr>
                <w:b/>
                <w:bCs/>
                <w:sz w:val="20"/>
                <w:szCs w:val="20"/>
              </w:rPr>
              <w:t>without</w:t>
            </w:r>
            <w:r w:rsidRPr="004B7699">
              <w:rPr>
                <w:sz w:val="20"/>
                <w:szCs w:val="20"/>
              </w:rPr>
              <w:t> re-circulating comments tied to that version.</w:t>
            </w:r>
          </w:p>
        </w:tc>
        <w:tc>
          <w:tcPr>
            <w:tcW w:w="0" w:type="auto"/>
            <w:vAlign w:val="center"/>
            <w:hideMark/>
          </w:tcPr>
          <w:p w14:paraId="508E5CBF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Decision-makers must consider the IS/MND together with comments on that same version (§15074(b)); may require re-notice (§15087(d)) and recirculation.</w:t>
            </w:r>
          </w:p>
        </w:tc>
      </w:tr>
      <w:tr w:rsidR="004B7699" w:rsidRPr="004B7699" w14:paraId="4BE5536F" w14:textId="77777777" w:rsidTr="004B7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178A9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Identifier consistency (IS no., filenames)</w:t>
            </w:r>
          </w:p>
        </w:tc>
        <w:tc>
          <w:tcPr>
            <w:tcW w:w="0" w:type="auto"/>
            <w:vAlign w:val="center"/>
            <w:hideMark/>
          </w:tcPr>
          <w:p w14:paraId="1C5EA192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Labels vary (</w:t>
            </w:r>
            <w:r w:rsidRPr="004B7699">
              <w:rPr>
                <w:b/>
                <w:bCs/>
                <w:sz w:val="20"/>
                <w:szCs w:val="20"/>
              </w:rPr>
              <w:t>IS 23-20 / IS 23-29</w:t>
            </w:r>
            <w:r w:rsidRPr="004B7699">
              <w:rPr>
                <w:sz w:val="20"/>
                <w:szCs w:val="20"/>
              </w:rPr>
              <w:t>) in notices/staff materials.</w:t>
            </w:r>
          </w:p>
        </w:tc>
        <w:tc>
          <w:tcPr>
            <w:tcW w:w="0" w:type="auto"/>
            <w:vAlign w:val="center"/>
            <w:hideMark/>
          </w:tcPr>
          <w:p w14:paraId="75692987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 xml:space="preserve">Some </w:t>
            </w:r>
            <w:proofErr w:type="gramStart"/>
            <w:r w:rsidRPr="004B7699">
              <w:rPr>
                <w:sz w:val="20"/>
                <w:szCs w:val="20"/>
              </w:rPr>
              <w:t>corrections;</w:t>
            </w:r>
            <w:proofErr w:type="gramEnd"/>
            <w:r w:rsidRPr="004B7699">
              <w:rPr>
                <w:sz w:val="20"/>
                <w:szCs w:val="20"/>
              </w:rPr>
              <w:t xml:space="preserve"> other inconsistencies remain across uploads.</w:t>
            </w:r>
          </w:p>
        </w:tc>
        <w:tc>
          <w:tcPr>
            <w:tcW w:w="0" w:type="auto"/>
            <w:vAlign w:val="center"/>
            <w:hideMark/>
          </w:tcPr>
          <w:p w14:paraId="5E6B0D2D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Record integrity/notice clarity issue; </w:t>
            </w:r>
            <w:r w:rsidRPr="004B7699">
              <w:rPr>
                <w:b/>
                <w:bCs/>
                <w:sz w:val="20"/>
                <w:szCs w:val="20"/>
              </w:rPr>
              <w:t>re-notice</w:t>
            </w:r>
            <w:r w:rsidRPr="004B7699">
              <w:rPr>
                <w:sz w:val="20"/>
                <w:szCs w:val="20"/>
              </w:rPr>
              <w:t> may be required if confusion affected public review (§15087(d)).</w:t>
            </w:r>
          </w:p>
        </w:tc>
      </w:tr>
      <w:tr w:rsidR="004B7699" w:rsidRPr="004B7699" w14:paraId="62E335A2" w14:textId="77777777" w:rsidTr="004B7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EAC3B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Mitigation Monitoring &amp; Reporting Program (MMRP)</w:t>
            </w:r>
          </w:p>
        </w:tc>
        <w:tc>
          <w:tcPr>
            <w:tcW w:w="0" w:type="auto"/>
            <w:vAlign w:val="center"/>
            <w:hideMark/>
          </w:tcPr>
          <w:p w14:paraId="28E22448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Mitigations embedded in narrative; </w:t>
            </w:r>
            <w:r w:rsidRPr="004B7699">
              <w:rPr>
                <w:b/>
                <w:bCs/>
                <w:sz w:val="20"/>
                <w:szCs w:val="20"/>
              </w:rPr>
              <w:t>no stand-alone MMRP</w:t>
            </w:r>
            <w:r w:rsidRPr="004B7699">
              <w:rPr>
                <w:sz w:val="20"/>
                <w:szCs w:val="20"/>
              </w:rPr>
              <w:t> assigning timing/responsible party/verification.</w:t>
            </w:r>
          </w:p>
        </w:tc>
        <w:tc>
          <w:tcPr>
            <w:tcW w:w="0" w:type="auto"/>
            <w:vAlign w:val="center"/>
            <w:hideMark/>
          </w:tcPr>
          <w:p w14:paraId="0696B7A0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sz w:val="20"/>
                <w:szCs w:val="20"/>
              </w:rPr>
              <w:t>Same—no adopted stand-alone MMRP before action.</w:t>
            </w:r>
          </w:p>
        </w:tc>
        <w:tc>
          <w:tcPr>
            <w:tcW w:w="0" w:type="auto"/>
            <w:vAlign w:val="center"/>
            <w:hideMark/>
          </w:tcPr>
          <w:p w14:paraId="5F0F23F4" w14:textId="77777777" w:rsidR="004B7699" w:rsidRPr="004B7699" w:rsidRDefault="004B7699" w:rsidP="004B7699">
            <w:pPr>
              <w:rPr>
                <w:sz w:val="20"/>
                <w:szCs w:val="20"/>
              </w:rPr>
            </w:pPr>
            <w:r w:rsidRPr="004B7699">
              <w:rPr>
                <w:b/>
                <w:bCs/>
                <w:sz w:val="20"/>
                <w:szCs w:val="20"/>
              </w:rPr>
              <w:t>Violates PRC §21081.6(a)</w:t>
            </w:r>
            <w:r w:rsidRPr="004B7699">
              <w:rPr>
                <w:sz w:val="20"/>
                <w:szCs w:val="20"/>
              </w:rPr>
              <w:t> (must adopt an enforceable MMRP </w:t>
            </w:r>
            <w:r w:rsidRPr="004B7699">
              <w:rPr>
                <w:b/>
                <w:bCs/>
                <w:sz w:val="20"/>
                <w:szCs w:val="20"/>
              </w:rPr>
              <w:t>before</w:t>
            </w:r>
            <w:r w:rsidRPr="004B7699">
              <w:rPr>
                <w:sz w:val="20"/>
                <w:szCs w:val="20"/>
              </w:rPr>
              <w:t> approval). Not a recirculation trigger by itself unless mitigation changes significance.</w:t>
            </w:r>
          </w:p>
        </w:tc>
      </w:tr>
    </w:tbl>
    <w:p w14:paraId="6FDB460B" w14:textId="77777777" w:rsidR="00FD19C2" w:rsidRPr="004B7699" w:rsidRDefault="00FD19C2">
      <w:pPr>
        <w:rPr>
          <w:sz w:val="20"/>
          <w:szCs w:val="20"/>
        </w:rPr>
      </w:pPr>
    </w:p>
    <w:sectPr w:rsidR="00FD19C2" w:rsidRPr="004B7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D7AF0"/>
    <w:multiLevelType w:val="multilevel"/>
    <w:tmpl w:val="91CE0546"/>
    <w:styleLink w:val="AppealStyle"/>
    <w:lvl w:ilvl="0">
      <w:start w:val="1"/>
      <w:numFmt w:val="none"/>
      <w:lvlText w:val="A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33511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99"/>
    <w:rsid w:val="004B7699"/>
    <w:rsid w:val="008A7ADA"/>
    <w:rsid w:val="00B95878"/>
    <w:rsid w:val="00F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48E18"/>
  <w15:chartTrackingRefBased/>
  <w15:docId w15:val="{BD18EB79-2639-7F4F-9177-B4F70DEE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ppealStyle">
    <w:name w:val="Appeal  Style"/>
    <w:uiPriority w:val="99"/>
    <w:rsid w:val="00FD19C2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4B7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1767</Characters>
  <Application>Microsoft Office Word</Application>
  <DocSecurity>0</DocSecurity>
  <Lines>32</Lines>
  <Paragraphs>18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Kann</dc:creator>
  <cp:keywords/>
  <dc:description/>
  <cp:lastModifiedBy>Maria Kann</cp:lastModifiedBy>
  <cp:revision>1</cp:revision>
  <cp:lastPrinted>2025-10-11T02:58:00Z</cp:lastPrinted>
  <dcterms:created xsi:type="dcterms:W3CDTF">2025-10-11T02:50:00Z</dcterms:created>
  <dcterms:modified xsi:type="dcterms:W3CDTF">2025-10-11T02:59:00Z</dcterms:modified>
</cp:coreProperties>
</file>