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768A9" w14:textId="77777777" w:rsidR="00054413" w:rsidRDefault="00F15A3A">
      <w:pPr>
        <w:jc w:val="center"/>
      </w:pPr>
      <w:r>
        <w:rPr>
          <w:b/>
          <w:color w:val="5B3E94"/>
          <w:sz w:val="36"/>
        </w:rPr>
        <w:t>Board Workshop Agenda</w:t>
      </w:r>
    </w:p>
    <w:p w14:paraId="0567196E" w14:textId="77777777" w:rsidR="00054413" w:rsidRDefault="00F15A3A">
      <w:pPr>
        <w:jc w:val="center"/>
      </w:pPr>
      <w:r>
        <w:rPr>
          <w:b/>
          <w:color w:val="3F3F3F"/>
          <w:sz w:val="26"/>
        </w:rPr>
        <w:t>The Cost of Success: Fiscal Stabilization and Reform Readiness</w:t>
      </w:r>
    </w:p>
    <w:p w14:paraId="5F473201" w14:textId="77777777" w:rsidR="00054413" w:rsidRDefault="00F15A3A">
      <w:pPr>
        <w:jc w:val="center"/>
      </w:pPr>
      <w:r>
        <w:rPr>
          <w:i/>
        </w:rPr>
        <w:t>Lake County Behavioral Health Services</w:t>
      </w:r>
    </w:p>
    <w:p w14:paraId="49562E2C" w14:textId="77777777" w:rsidR="00054413" w:rsidRDefault="00F15A3A">
      <w:r>
        <w:rPr>
          <w:b/>
          <w:color w:val="5B3E94"/>
          <w:sz w:val="24"/>
        </w:rPr>
        <w:t>Workshop Purpose</w:t>
      </w:r>
    </w:p>
    <w:p w14:paraId="0A3637B6" w14:textId="77777777" w:rsidR="00054413" w:rsidRDefault="00F15A3A">
      <w:pPr>
        <w:spacing w:after="120"/>
      </w:pPr>
      <w:r>
        <w:t>This workshop will provide the Board with an updated fiscal stabilization overview for Lake County Behavioral Health Services. The presentation frames the current issue as a governance and risk-management decision: LCBHS has expanded services and is trending toward stabilization, but cash timing, provider-payment lag, and IGT/CFA requirements continue to create liquidity pressure.</w:t>
      </w:r>
    </w:p>
    <w:p w14:paraId="5D03FFE8" w14:textId="77777777" w:rsidR="00054413" w:rsidRDefault="00F15A3A">
      <w:r>
        <w:rPr>
          <w:b/>
          <w:color w:val="5B3E94"/>
          <w:sz w:val="24"/>
        </w:rPr>
        <w:t>Proposed Format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35"/>
        <w:gridCol w:w="5035"/>
      </w:tblGrid>
      <w:tr w:rsidR="00054413" w14:paraId="69A3112F" w14:textId="77777777">
        <w:trPr>
          <w:jc w:val="center"/>
        </w:trPr>
        <w:tc>
          <w:tcPr>
            <w:tcW w:w="5040" w:type="dxa"/>
            <w:shd w:val="clear" w:color="auto" w:fill="E7E0F3"/>
            <w:vAlign w:val="center"/>
          </w:tcPr>
          <w:p w14:paraId="7D7D495C" w14:textId="77777777" w:rsidR="00054413" w:rsidRDefault="00F15A3A">
            <w:r>
              <w:rPr>
                <w:b/>
                <w:color w:val="5B3E94"/>
                <w:sz w:val="20"/>
              </w:rPr>
              <w:t>Format</w:t>
            </w:r>
          </w:p>
        </w:tc>
        <w:tc>
          <w:tcPr>
            <w:tcW w:w="5040" w:type="dxa"/>
            <w:vAlign w:val="center"/>
          </w:tcPr>
          <w:p w14:paraId="4A7445B5" w14:textId="77777777" w:rsidR="00054413" w:rsidRDefault="00F15A3A">
            <w:r>
              <w:rPr>
                <w:sz w:val="20"/>
              </w:rPr>
              <w:t>Focused Board workshop / study session</w:t>
            </w:r>
          </w:p>
        </w:tc>
      </w:tr>
      <w:tr w:rsidR="00054413" w14:paraId="4426C26A" w14:textId="77777777">
        <w:trPr>
          <w:jc w:val="center"/>
        </w:trPr>
        <w:tc>
          <w:tcPr>
            <w:tcW w:w="5040" w:type="dxa"/>
            <w:shd w:val="clear" w:color="auto" w:fill="E7E0F3"/>
            <w:vAlign w:val="center"/>
          </w:tcPr>
          <w:p w14:paraId="2FD72F83" w14:textId="77777777" w:rsidR="00054413" w:rsidRDefault="00F15A3A">
            <w:r>
              <w:rPr>
                <w:b/>
                <w:color w:val="5B3E94"/>
                <w:sz w:val="20"/>
              </w:rPr>
              <w:t>Estimated length</w:t>
            </w:r>
          </w:p>
        </w:tc>
        <w:tc>
          <w:tcPr>
            <w:tcW w:w="5040" w:type="dxa"/>
            <w:vAlign w:val="center"/>
          </w:tcPr>
          <w:p w14:paraId="6D467C98" w14:textId="77777777" w:rsidR="00054413" w:rsidRDefault="00F15A3A">
            <w:r>
              <w:rPr>
                <w:sz w:val="20"/>
              </w:rPr>
              <w:t>Approximately 2 hours, with flexibility for Board questions</w:t>
            </w:r>
          </w:p>
        </w:tc>
      </w:tr>
      <w:tr w:rsidR="00054413" w14:paraId="65749EAE" w14:textId="77777777">
        <w:trPr>
          <w:jc w:val="center"/>
        </w:trPr>
        <w:tc>
          <w:tcPr>
            <w:tcW w:w="5040" w:type="dxa"/>
            <w:shd w:val="clear" w:color="auto" w:fill="E7E0F3"/>
            <w:vAlign w:val="center"/>
          </w:tcPr>
          <w:p w14:paraId="1DFD2544" w14:textId="77777777" w:rsidR="00054413" w:rsidRDefault="00F15A3A">
            <w:r>
              <w:rPr>
                <w:b/>
                <w:color w:val="5B3E94"/>
                <w:sz w:val="20"/>
              </w:rPr>
              <w:t>Primary focus</w:t>
            </w:r>
          </w:p>
        </w:tc>
        <w:tc>
          <w:tcPr>
            <w:tcW w:w="5040" w:type="dxa"/>
            <w:vAlign w:val="center"/>
          </w:tcPr>
          <w:p w14:paraId="138B637E" w14:textId="77777777" w:rsidR="00054413" w:rsidRDefault="00F15A3A">
            <w:r>
              <w:rPr>
                <w:sz w:val="20"/>
              </w:rPr>
              <w:t>Fiscal stabilization, provider-payment timing, IGT/CFA requirements, and remaining General Fund loan resolution</w:t>
            </w:r>
          </w:p>
        </w:tc>
      </w:tr>
      <w:tr w:rsidR="00054413" w14:paraId="231B0ABC" w14:textId="77777777">
        <w:trPr>
          <w:jc w:val="center"/>
        </w:trPr>
        <w:tc>
          <w:tcPr>
            <w:tcW w:w="5040" w:type="dxa"/>
            <w:shd w:val="clear" w:color="auto" w:fill="E7E0F3"/>
            <w:vAlign w:val="center"/>
          </w:tcPr>
          <w:p w14:paraId="45F8651C" w14:textId="77777777" w:rsidR="00054413" w:rsidRDefault="00F15A3A">
            <w:r>
              <w:rPr>
                <w:b/>
                <w:color w:val="5B3E94"/>
                <w:sz w:val="20"/>
              </w:rPr>
              <w:t>Decision posture</w:t>
            </w:r>
          </w:p>
        </w:tc>
        <w:tc>
          <w:tcPr>
            <w:tcW w:w="5040" w:type="dxa"/>
            <w:vAlign w:val="center"/>
          </w:tcPr>
          <w:p w14:paraId="654BAC3A" w14:textId="77777777" w:rsidR="00054413" w:rsidRDefault="00F15A3A">
            <w:r>
              <w:rPr>
                <w:sz w:val="20"/>
              </w:rPr>
              <w:t>No additional General Fund borrowing is proposed. The remaining $2M balance requires either full/partial forgiveness or an affordable repayment plan.</w:t>
            </w:r>
          </w:p>
        </w:tc>
      </w:tr>
    </w:tbl>
    <w:p w14:paraId="5F7783B8" w14:textId="77777777" w:rsidR="00054413" w:rsidRDefault="00F15A3A">
      <w:r>
        <w:rPr>
          <w:b/>
          <w:color w:val="5B3E94"/>
          <w:sz w:val="24"/>
        </w:rPr>
        <w:t>Proposed Participants</w:t>
      </w:r>
    </w:p>
    <w:p w14:paraId="0705173E" w14:textId="3E2BCAF3" w:rsidR="00054413" w:rsidRDefault="00F15A3A">
      <w:r>
        <w:t>Board of Supervisors; County Administration; Lake County Behavioral Health Services; Auditor-Controller/Treasury representatives as appropriate; County Counsel</w:t>
      </w:r>
      <w:r w:rsidR="00274864">
        <w:t>, Behavioral Health Advisory Board members,</w:t>
      </w:r>
      <w:r>
        <w:t xml:space="preserve"> as needed.</w:t>
      </w:r>
    </w:p>
    <w:p w14:paraId="6959607D" w14:textId="77777777" w:rsidR="00054413" w:rsidRDefault="00F15A3A">
      <w:r>
        <w:rPr>
          <w:b/>
          <w:color w:val="5B3E94"/>
          <w:sz w:val="24"/>
        </w:rPr>
        <w:t>Key Board Discussion Questions</w:t>
      </w:r>
    </w:p>
    <w:p w14:paraId="24D799BE" w14:textId="77777777" w:rsidR="00054413" w:rsidRDefault="00F15A3A">
      <w:pPr>
        <w:spacing w:after="40"/>
        <w:ind w:left="288" w:hanging="288"/>
      </w:pPr>
      <w:r>
        <w:t xml:space="preserve">• </w:t>
      </w:r>
      <w:r>
        <w:t>Does the Board agree that the remaining issue is primarily liquidity, cash timing, and risk management rather than a simple budget variance?</w:t>
      </w:r>
    </w:p>
    <w:p w14:paraId="7E31CAF0" w14:textId="77777777" w:rsidR="00054413" w:rsidRDefault="00F15A3A">
      <w:pPr>
        <w:spacing w:after="40"/>
        <w:ind w:left="288" w:hanging="288"/>
      </w:pPr>
      <w:r>
        <w:t>• Does the Board want to consider full or partial forgiveness of the remaining $2M General Fund loan balance?</w:t>
      </w:r>
    </w:p>
    <w:p w14:paraId="57434CE0" w14:textId="77777777" w:rsidR="00054413" w:rsidRDefault="00F15A3A">
      <w:pPr>
        <w:spacing w:after="40"/>
        <w:ind w:left="288" w:hanging="288"/>
      </w:pPr>
      <w:r>
        <w:t>• If repayment is preferred, what payment plan is affordable without destabilizing payroll, provider payments, IGT/CFA requirements, or core services?</w:t>
      </w:r>
    </w:p>
    <w:p w14:paraId="4BE91899" w14:textId="77777777" w:rsidR="00054413" w:rsidRDefault="00F15A3A">
      <w:pPr>
        <w:spacing w:after="40"/>
        <w:ind w:left="288" w:hanging="288"/>
      </w:pPr>
      <w:r>
        <w:t>• What level of ongoing fiscal reporting would the Board like to receive during the stabilization period?</w:t>
      </w:r>
    </w:p>
    <w:p w14:paraId="48617CA6" w14:textId="77777777" w:rsidR="00054413" w:rsidRDefault="00F15A3A">
      <w:r>
        <w:br w:type="page"/>
      </w:r>
    </w:p>
    <w:p w14:paraId="5EF7C8B1" w14:textId="77777777" w:rsidR="00054413" w:rsidRDefault="00F15A3A">
      <w:r>
        <w:rPr>
          <w:b/>
          <w:color w:val="5B3E94"/>
          <w:sz w:val="24"/>
        </w:rPr>
        <w:lastRenderedPageBreak/>
        <w:t>Workshop Agenda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55"/>
        <w:gridCol w:w="3357"/>
        <w:gridCol w:w="3358"/>
      </w:tblGrid>
      <w:tr w:rsidR="00054413" w14:paraId="09D29074" w14:textId="77777777">
        <w:trPr>
          <w:jc w:val="center"/>
        </w:trPr>
        <w:tc>
          <w:tcPr>
            <w:tcW w:w="3360" w:type="dxa"/>
            <w:shd w:val="clear" w:color="auto" w:fill="5B3E94"/>
            <w:vAlign w:val="center"/>
          </w:tcPr>
          <w:p w14:paraId="62DB06B7" w14:textId="77777777" w:rsidR="00054413" w:rsidRDefault="00F15A3A">
            <w:r>
              <w:rPr>
                <w:b/>
                <w:color w:val="FFFFFF"/>
                <w:sz w:val="20"/>
              </w:rPr>
              <w:t>Time</w:t>
            </w:r>
          </w:p>
        </w:tc>
        <w:tc>
          <w:tcPr>
            <w:tcW w:w="3360" w:type="dxa"/>
            <w:shd w:val="clear" w:color="auto" w:fill="5B3E94"/>
            <w:vAlign w:val="center"/>
          </w:tcPr>
          <w:p w14:paraId="079D8136" w14:textId="77777777" w:rsidR="00054413" w:rsidRDefault="00F15A3A">
            <w:r>
              <w:rPr>
                <w:b/>
                <w:color w:val="FFFFFF"/>
                <w:sz w:val="20"/>
              </w:rPr>
              <w:t>Topic</w:t>
            </w:r>
          </w:p>
        </w:tc>
        <w:tc>
          <w:tcPr>
            <w:tcW w:w="3360" w:type="dxa"/>
            <w:shd w:val="clear" w:color="auto" w:fill="5B3E94"/>
            <w:vAlign w:val="center"/>
          </w:tcPr>
          <w:p w14:paraId="4072A938" w14:textId="77777777" w:rsidR="00054413" w:rsidRDefault="00F15A3A">
            <w:r>
              <w:rPr>
                <w:b/>
                <w:color w:val="FFFFFF"/>
                <w:sz w:val="20"/>
              </w:rPr>
              <w:t>Purpose</w:t>
            </w:r>
          </w:p>
        </w:tc>
      </w:tr>
      <w:tr w:rsidR="00054413" w14:paraId="5143FEB1" w14:textId="77777777">
        <w:trPr>
          <w:jc w:val="center"/>
        </w:trPr>
        <w:tc>
          <w:tcPr>
            <w:tcW w:w="3360" w:type="dxa"/>
            <w:vAlign w:val="center"/>
          </w:tcPr>
          <w:p w14:paraId="6DFC7413" w14:textId="77777777" w:rsidR="00054413" w:rsidRDefault="00F15A3A">
            <w:r>
              <w:rPr>
                <w:b/>
                <w:sz w:val="19"/>
              </w:rPr>
              <w:t>0:00-0:10</w:t>
            </w:r>
          </w:p>
        </w:tc>
        <w:tc>
          <w:tcPr>
            <w:tcW w:w="3360" w:type="dxa"/>
            <w:vAlign w:val="center"/>
          </w:tcPr>
          <w:p w14:paraId="08FDF71D" w14:textId="77777777" w:rsidR="00054413" w:rsidRDefault="00F15A3A">
            <w:r>
              <w:rPr>
                <w:b/>
                <w:sz w:val="19"/>
              </w:rPr>
              <w:t>Opening and workshop purpose</w:t>
            </w:r>
          </w:p>
        </w:tc>
        <w:tc>
          <w:tcPr>
            <w:tcW w:w="3360" w:type="dxa"/>
            <w:vAlign w:val="center"/>
          </w:tcPr>
          <w:p w14:paraId="11FDD0E8" w14:textId="77777777" w:rsidR="00054413" w:rsidRDefault="00F15A3A">
            <w:r>
              <w:rPr>
                <w:sz w:val="19"/>
              </w:rPr>
              <w:t>Set the frame: service expansion, stabilization progress, and the governance decision before the Board.</w:t>
            </w:r>
          </w:p>
        </w:tc>
      </w:tr>
      <w:tr w:rsidR="00054413" w14:paraId="3F37E66F" w14:textId="77777777">
        <w:trPr>
          <w:jc w:val="center"/>
        </w:trPr>
        <w:tc>
          <w:tcPr>
            <w:tcW w:w="3360" w:type="dxa"/>
            <w:vAlign w:val="center"/>
          </w:tcPr>
          <w:p w14:paraId="388E9ECC" w14:textId="77777777" w:rsidR="00054413" w:rsidRDefault="00F15A3A">
            <w:r>
              <w:rPr>
                <w:b/>
                <w:sz w:val="19"/>
              </w:rPr>
              <w:t>0:10-0:30</w:t>
            </w:r>
          </w:p>
        </w:tc>
        <w:tc>
          <w:tcPr>
            <w:tcW w:w="3360" w:type="dxa"/>
            <w:vAlign w:val="center"/>
          </w:tcPr>
          <w:p w14:paraId="526ED16C" w14:textId="77777777" w:rsidR="00054413" w:rsidRDefault="00F15A3A">
            <w:r>
              <w:rPr>
                <w:b/>
                <w:sz w:val="19"/>
              </w:rPr>
              <w:t>The cost of success</w:t>
            </w:r>
          </w:p>
        </w:tc>
        <w:tc>
          <w:tcPr>
            <w:tcW w:w="3360" w:type="dxa"/>
            <w:vAlign w:val="center"/>
          </w:tcPr>
          <w:p w14:paraId="006509DC" w14:textId="77777777" w:rsidR="00054413" w:rsidRDefault="00F15A3A">
            <w:r>
              <w:rPr>
                <w:sz w:val="19"/>
              </w:rPr>
              <w:t>Review how LCBHS expanded access, implemented State reforms, and received recognition for rural behavioral health leadership.</w:t>
            </w:r>
          </w:p>
        </w:tc>
      </w:tr>
      <w:tr w:rsidR="00054413" w14:paraId="51B822E7" w14:textId="77777777">
        <w:trPr>
          <w:jc w:val="center"/>
        </w:trPr>
        <w:tc>
          <w:tcPr>
            <w:tcW w:w="3360" w:type="dxa"/>
            <w:vAlign w:val="center"/>
          </w:tcPr>
          <w:p w14:paraId="5E8FFBED" w14:textId="77777777" w:rsidR="00054413" w:rsidRDefault="00F15A3A">
            <w:r>
              <w:rPr>
                <w:b/>
                <w:sz w:val="19"/>
              </w:rPr>
              <w:t>0:30-0:50</w:t>
            </w:r>
          </w:p>
        </w:tc>
        <w:tc>
          <w:tcPr>
            <w:tcW w:w="3360" w:type="dxa"/>
            <w:vAlign w:val="center"/>
          </w:tcPr>
          <w:p w14:paraId="54C0A5E3" w14:textId="77777777" w:rsidR="00054413" w:rsidRDefault="00F15A3A">
            <w:r>
              <w:rPr>
                <w:b/>
                <w:sz w:val="19"/>
              </w:rPr>
              <w:t>Fiscal picture and service growth</w:t>
            </w:r>
          </w:p>
        </w:tc>
        <w:tc>
          <w:tcPr>
            <w:tcW w:w="3360" w:type="dxa"/>
            <w:vAlign w:val="center"/>
          </w:tcPr>
          <w:p w14:paraId="7DA8D9CA" w14:textId="77777777" w:rsidR="00054413" w:rsidRDefault="00F15A3A">
            <w:r>
              <w:rPr>
                <w:sz w:val="19"/>
              </w:rPr>
              <w:t>Present the high-level relationship between service growth, budget/expenditures, and current-year stabilization.</w:t>
            </w:r>
          </w:p>
        </w:tc>
      </w:tr>
      <w:tr w:rsidR="00054413" w14:paraId="7E6A5F98" w14:textId="77777777">
        <w:trPr>
          <w:jc w:val="center"/>
        </w:trPr>
        <w:tc>
          <w:tcPr>
            <w:tcW w:w="3360" w:type="dxa"/>
            <w:vAlign w:val="center"/>
          </w:tcPr>
          <w:p w14:paraId="201FCFF6" w14:textId="77777777" w:rsidR="00054413" w:rsidRDefault="00F15A3A">
            <w:r>
              <w:rPr>
                <w:b/>
                <w:sz w:val="19"/>
              </w:rPr>
              <w:t>0:50-1:15</w:t>
            </w:r>
          </w:p>
        </w:tc>
        <w:tc>
          <w:tcPr>
            <w:tcW w:w="3360" w:type="dxa"/>
            <w:vAlign w:val="center"/>
          </w:tcPr>
          <w:p w14:paraId="7F79D440" w14:textId="77777777" w:rsidR="00054413" w:rsidRDefault="00F15A3A">
            <w:r>
              <w:rPr>
                <w:b/>
                <w:sz w:val="19"/>
              </w:rPr>
              <w:t>Cash timing, IGT/CFA, and provider payments</w:t>
            </w:r>
          </w:p>
        </w:tc>
        <w:tc>
          <w:tcPr>
            <w:tcW w:w="3360" w:type="dxa"/>
            <w:vAlign w:val="center"/>
          </w:tcPr>
          <w:p w14:paraId="7FD08AD1" w14:textId="77777777" w:rsidR="00054413" w:rsidRDefault="00F15A3A">
            <w:r>
              <w:rPr>
                <w:sz w:val="19"/>
              </w:rPr>
              <w:t>Explain the current liquidity issue, DHCS CFA warning, IGT requirements, and 5-6 month contractor/payment lag.</w:t>
            </w:r>
          </w:p>
        </w:tc>
      </w:tr>
      <w:tr w:rsidR="00054413" w14:paraId="30029BA1" w14:textId="77777777">
        <w:trPr>
          <w:jc w:val="center"/>
        </w:trPr>
        <w:tc>
          <w:tcPr>
            <w:tcW w:w="3360" w:type="dxa"/>
            <w:vAlign w:val="center"/>
          </w:tcPr>
          <w:p w14:paraId="51E24B2B" w14:textId="77777777" w:rsidR="00054413" w:rsidRDefault="00F15A3A">
            <w:r>
              <w:rPr>
                <w:b/>
                <w:sz w:val="19"/>
              </w:rPr>
              <w:t>1:15-1:35</w:t>
            </w:r>
          </w:p>
        </w:tc>
        <w:tc>
          <w:tcPr>
            <w:tcW w:w="3360" w:type="dxa"/>
            <w:vAlign w:val="center"/>
          </w:tcPr>
          <w:p w14:paraId="716AA1AF" w14:textId="77777777" w:rsidR="00054413" w:rsidRDefault="00F15A3A">
            <w:r>
              <w:rPr>
                <w:b/>
                <w:sz w:val="19"/>
              </w:rPr>
              <w:t>Corrective actions underway</w:t>
            </w:r>
          </w:p>
        </w:tc>
        <w:tc>
          <w:tcPr>
            <w:tcW w:w="3360" w:type="dxa"/>
            <w:vAlign w:val="center"/>
          </w:tcPr>
          <w:p w14:paraId="22C9BA73" w14:textId="77777777" w:rsidR="00054413" w:rsidRDefault="00F15A3A">
            <w:r>
              <w:rPr>
                <w:sz w:val="19"/>
              </w:rPr>
              <w:t>Review actions to strengthen cash visibility, claiming, contract discipline, payment timing, and fiscal controls.</w:t>
            </w:r>
          </w:p>
        </w:tc>
      </w:tr>
      <w:tr w:rsidR="00054413" w14:paraId="522BFD85" w14:textId="77777777">
        <w:trPr>
          <w:jc w:val="center"/>
        </w:trPr>
        <w:tc>
          <w:tcPr>
            <w:tcW w:w="3360" w:type="dxa"/>
            <w:vAlign w:val="center"/>
          </w:tcPr>
          <w:p w14:paraId="6F193EC3" w14:textId="77777777" w:rsidR="00054413" w:rsidRDefault="00F15A3A">
            <w:r>
              <w:rPr>
                <w:b/>
                <w:sz w:val="19"/>
              </w:rPr>
              <w:t>1:35-1:55</w:t>
            </w:r>
          </w:p>
        </w:tc>
        <w:tc>
          <w:tcPr>
            <w:tcW w:w="3360" w:type="dxa"/>
            <w:vAlign w:val="center"/>
          </w:tcPr>
          <w:p w14:paraId="36899F6C" w14:textId="77777777" w:rsidR="00054413" w:rsidRDefault="00F15A3A">
            <w:r>
              <w:rPr>
                <w:b/>
                <w:sz w:val="19"/>
              </w:rPr>
              <w:t>Board discussion: remaining $2M loan balance</w:t>
            </w:r>
          </w:p>
        </w:tc>
        <w:tc>
          <w:tcPr>
            <w:tcW w:w="3360" w:type="dxa"/>
            <w:vAlign w:val="center"/>
          </w:tcPr>
          <w:p w14:paraId="58B5D151" w14:textId="77777777" w:rsidR="00054413" w:rsidRDefault="00F15A3A">
            <w:r>
              <w:rPr>
                <w:sz w:val="19"/>
              </w:rPr>
              <w:t>Discuss viable resolution options: full/partial forgiveness or an affordable repayment plan tied to actual cash capacity.</w:t>
            </w:r>
          </w:p>
        </w:tc>
      </w:tr>
      <w:tr w:rsidR="00054413" w14:paraId="536DE1C9" w14:textId="77777777">
        <w:trPr>
          <w:jc w:val="center"/>
        </w:trPr>
        <w:tc>
          <w:tcPr>
            <w:tcW w:w="3360" w:type="dxa"/>
            <w:vAlign w:val="center"/>
          </w:tcPr>
          <w:p w14:paraId="7CA9C323" w14:textId="77777777" w:rsidR="00054413" w:rsidRDefault="00F15A3A">
            <w:r>
              <w:rPr>
                <w:b/>
                <w:sz w:val="19"/>
              </w:rPr>
              <w:t>1:55-2:00</w:t>
            </w:r>
          </w:p>
        </w:tc>
        <w:tc>
          <w:tcPr>
            <w:tcW w:w="3360" w:type="dxa"/>
            <w:vAlign w:val="center"/>
          </w:tcPr>
          <w:p w14:paraId="17AFFE2B" w14:textId="77777777" w:rsidR="00054413" w:rsidRDefault="00F15A3A">
            <w:r>
              <w:rPr>
                <w:b/>
                <w:sz w:val="19"/>
              </w:rPr>
              <w:t>Next steps</w:t>
            </w:r>
          </w:p>
        </w:tc>
        <w:tc>
          <w:tcPr>
            <w:tcW w:w="3360" w:type="dxa"/>
            <w:vAlign w:val="center"/>
          </w:tcPr>
          <w:p w14:paraId="55B67330" w14:textId="77777777" w:rsidR="00054413" w:rsidRDefault="00F15A3A">
            <w:r>
              <w:rPr>
                <w:sz w:val="19"/>
              </w:rPr>
              <w:t>Confirm Board direction, reporting expectations, and any follow-up item for formal action.</w:t>
            </w:r>
          </w:p>
        </w:tc>
      </w:tr>
    </w:tbl>
    <w:p w14:paraId="397BC4B2" w14:textId="77777777" w:rsidR="00054413" w:rsidRDefault="00F15A3A">
      <w:r>
        <w:rPr>
          <w:b/>
          <w:color w:val="5B3E94"/>
          <w:sz w:val="24"/>
        </w:rPr>
        <w:t>Anticipated Workshop Materials</w:t>
      </w:r>
    </w:p>
    <w:p w14:paraId="5C35B0FC" w14:textId="77777777" w:rsidR="00054413" w:rsidRDefault="00F15A3A">
      <w:pPr>
        <w:spacing w:after="20"/>
        <w:ind w:left="288" w:hanging="288"/>
      </w:pPr>
      <w:r>
        <w:t xml:space="preserve">• </w:t>
      </w:r>
      <w:r>
        <w:t>Fiscal stabilization presentation deck</w:t>
      </w:r>
    </w:p>
    <w:p w14:paraId="12D3A8F6" w14:textId="77777777" w:rsidR="00054413" w:rsidRDefault="00F15A3A">
      <w:pPr>
        <w:spacing w:after="20"/>
        <w:ind w:left="288" w:hanging="288"/>
      </w:pPr>
      <w:r>
        <w:t>• High-level executive summary slide with current cash, provider-payment, and IGT/CFA indicators</w:t>
      </w:r>
    </w:p>
    <w:p w14:paraId="5D05B10B" w14:textId="77777777" w:rsidR="00054413" w:rsidRDefault="00F15A3A">
      <w:pPr>
        <w:spacing w:after="20"/>
        <w:ind w:left="288" w:hanging="288"/>
      </w:pPr>
      <w:r>
        <w:t>• Loan-resolution options for Board discussion</w:t>
      </w:r>
    </w:p>
    <w:p w14:paraId="3E65DE5E" w14:textId="77777777" w:rsidR="00054413" w:rsidRDefault="00F15A3A">
      <w:pPr>
        <w:spacing w:after="20"/>
        <w:ind w:left="288" w:hanging="288"/>
      </w:pPr>
      <w:r>
        <w:t>• Supporting fiscal detail as needed for Board questions</w:t>
      </w:r>
    </w:p>
    <w:p w14:paraId="6510A126" w14:textId="77777777" w:rsidR="00054413" w:rsidRDefault="00F15A3A">
      <w:r>
        <w:rPr>
          <w:b/>
          <w:color w:val="5B3E94"/>
          <w:sz w:val="24"/>
        </w:rPr>
        <w:t>Procedural Note</w:t>
      </w:r>
    </w:p>
    <w:p w14:paraId="4A032950" w14:textId="77777777" w:rsidR="00054413" w:rsidRDefault="00F15A3A">
      <w:r>
        <w:t>The workshop is intended to support Board discussion and direction. Any specific fiscal approval, budget adjustment, loan forgiveness, repayment plan, or related action should return to the Board as a separately agendized item unless expressly noticed for action.</w:t>
      </w:r>
    </w:p>
    <w:sectPr w:rsidR="00054413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859901">
    <w:abstractNumId w:val="8"/>
  </w:num>
  <w:num w:numId="2" w16cid:durableId="924144411">
    <w:abstractNumId w:val="6"/>
  </w:num>
  <w:num w:numId="3" w16cid:durableId="1213032994">
    <w:abstractNumId w:val="5"/>
  </w:num>
  <w:num w:numId="4" w16cid:durableId="1227104615">
    <w:abstractNumId w:val="4"/>
  </w:num>
  <w:num w:numId="5" w16cid:durableId="1222057523">
    <w:abstractNumId w:val="7"/>
  </w:num>
  <w:num w:numId="6" w16cid:durableId="1258058881">
    <w:abstractNumId w:val="3"/>
  </w:num>
  <w:num w:numId="7" w16cid:durableId="732243196">
    <w:abstractNumId w:val="2"/>
  </w:num>
  <w:num w:numId="8" w16cid:durableId="615913296">
    <w:abstractNumId w:val="1"/>
  </w:num>
  <w:num w:numId="9" w16cid:durableId="93142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413"/>
    <w:rsid w:val="0006063C"/>
    <w:rsid w:val="0015074B"/>
    <w:rsid w:val="00274864"/>
    <w:rsid w:val="0029639D"/>
    <w:rsid w:val="00326F90"/>
    <w:rsid w:val="00AA1D8D"/>
    <w:rsid w:val="00B47730"/>
    <w:rsid w:val="00CB0664"/>
    <w:rsid w:val="00F15A3A"/>
    <w:rsid w:val="00F27E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5A6D28"/>
  <w14:defaultImageDpi w14:val="300"/>
  <w15:docId w15:val="{03BCC50C-4A9B-4324-B90D-BFCDACC0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2891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Elise Jones</cp:lastModifiedBy>
  <cp:revision>2</cp:revision>
  <dcterms:created xsi:type="dcterms:W3CDTF">2026-06-05T23:19:00Z</dcterms:created>
  <dcterms:modified xsi:type="dcterms:W3CDTF">2026-06-05T23:19:00Z</dcterms:modified>
  <cp:category/>
</cp:coreProperties>
</file>